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B5" w:rsidRPr="007B5EFB" w:rsidRDefault="008D6DB5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 w:rsidRPr="007B5EFB">
        <w:rPr>
          <w:rFonts w:cs="Arial"/>
          <w:b/>
          <w:sz w:val="24"/>
          <w:szCs w:val="24"/>
        </w:rPr>
        <w:t xml:space="preserve">3GPP TSG </w:t>
      </w:r>
      <w:r w:rsidR="00EF2CC4">
        <w:rPr>
          <w:rFonts w:cs="Arial"/>
          <w:b/>
          <w:color w:val="000000" w:themeColor="text1"/>
          <w:sz w:val="24"/>
          <w:szCs w:val="24"/>
        </w:rPr>
        <w:t>RAN</w:t>
      </w:r>
      <w:proofErr w:type="gramStart"/>
      <w:r w:rsidRPr="007B5EFB">
        <w:rPr>
          <w:rFonts w:cs="Arial"/>
          <w:b/>
          <w:color w:val="000000" w:themeColor="text1"/>
          <w:sz w:val="24"/>
          <w:szCs w:val="24"/>
        </w:rPr>
        <w:t>#</w:t>
      </w:r>
      <w:r w:rsidR="00EF2CC4">
        <w:rPr>
          <w:rFonts w:cs="Arial"/>
          <w:b/>
          <w:color w:val="000000" w:themeColor="text1"/>
          <w:sz w:val="24"/>
          <w:szCs w:val="24"/>
        </w:rPr>
        <w:t>7</w:t>
      </w:r>
      <w:r w:rsidR="00122BF3">
        <w:rPr>
          <w:rFonts w:cs="Arial"/>
          <w:b/>
          <w:color w:val="000000" w:themeColor="text1"/>
          <w:sz w:val="24"/>
          <w:szCs w:val="24"/>
        </w:rPr>
        <w:t>4</w:t>
      </w:r>
      <w:r w:rsidR="007572CF" w:rsidRPr="007B5EFB">
        <w:rPr>
          <w:rFonts w:cs="Arial"/>
          <w:b/>
          <w:sz w:val="24"/>
          <w:szCs w:val="24"/>
        </w:rPr>
        <w:tab/>
      </w:r>
      <w:proofErr w:type="spellStart"/>
      <w:r w:rsidR="009E4D23">
        <w:rPr>
          <w:rFonts w:cs="Arial"/>
          <w:b/>
          <w:sz w:val="24"/>
          <w:szCs w:val="24"/>
        </w:rPr>
        <w:t>TDoc</w:t>
      </w:r>
      <w:proofErr w:type="spellEnd"/>
      <w:r w:rsidR="009E4D23">
        <w:rPr>
          <w:rFonts w:cs="Arial"/>
          <w:b/>
          <w:sz w:val="24"/>
          <w:szCs w:val="24"/>
        </w:rPr>
        <w:t xml:space="preserve"> </w:t>
      </w:r>
      <w:r w:rsidR="00EF2CC4">
        <w:rPr>
          <w:rFonts w:cs="Arial"/>
          <w:b/>
          <w:sz w:val="24"/>
          <w:szCs w:val="24"/>
        </w:rPr>
        <w:t>RP-16</w:t>
      </w:r>
      <w:r w:rsidR="00122BF3">
        <w:rPr>
          <w:rFonts w:cs="Arial"/>
          <w:b/>
          <w:sz w:val="24"/>
          <w:szCs w:val="24"/>
        </w:rPr>
        <w:t>2261</w:t>
      </w:r>
      <w:proofErr w:type="gramEnd"/>
      <w:r w:rsidR="005F5F2F">
        <w:rPr>
          <w:rFonts w:cs="Arial"/>
          <w:b/>
          <w:sz w:val="24"/>
          <w:szCs w:val="24"/>
        </w:rPr>
        <w:fldChar w:fldCharType="begin"/>
      </w:r>
      <w:r w:rsidR="007567E9">
        <w:rPr>
          <w:rFonts w:cs="Arial"/>
          <w:b/>
          <w:sz w:val="24"/>
          <w:szCs w:val="24"/>
        </w:rPr>
        <w:instrText xml:space="preserve"> DOCVARIABLE  "TDoc Number"  \* MERGEFORMAT </w:instrText>
      </w:r>
      <w:r w:rsidR="005F5F2F">
        <w:rPr>
          <w:rFonts w:cs="Arial"/>
          <w:b/>
          <w:sz w:val="24"/>
          <w:szCs w:val="24"/>
        </w:rPr>
        <w:fldChar w:fldCharType="end"/>
      </w:r>
    </w:p>
    <w:p w:rsidR="005A22B5" w:rsidRPr="007B5EFB" w:rsidRDefault="00122BF3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December</w:t>
      </w:r>
      <w:r w:rsidR="00230EB7" w:rsidRPr="007B5EF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5-8</w:t>
      </w:r>
      <w:r w:rsidR="00230EB7" w:rsidRPr="007B5EFB">
        <w:rPr>
          <w:rFonts w:cs="Arial"/>
          <w:sz w:val="24"/>
          <w:szCs w:val="24"/>
        </w:rPr>
        <w:t xml:space="preserve">, </w:t>
      </w:r>
      <w:r w:rsidR="00EF2CC4">
        <w:rPr>
          <w:rFonts w:cs="Arial"/>
          <w:sz w:val="24"/>
          <w:szCs w:val="24"/>
        </w:rPr>
        <w:t>2016</w:t>
      </w:r>
      <w:r w:rsidR="005A22B5" w:rsidRPr="007B5EFB">
        <w:rPr>
          <w:rFonts w:cs="Arial"/>
          <w:b/>
          <w:sz w:val="24"/>
          <w:szCs w:val="24"/>
        </w:rPr>
        <w:tab/>
        <w:t xml:space="preserve">Agenda Item </w:t>
      </w:r>
      <w:r w:rsidR="00E171D3">
        <w:rPr>
          <w:rFonts w:cs="Arial"/>
          <w:b/>
          <w:sz w:val="24"/>
          <w:szCs w:val="24"/>
        </w:rPr>
        <w:t>9.1</w:t>
      </w:r>
    </w:p>
    <w:p w:rsidR="005A22B5" w:rsidRPr="007B5EFB" w:rsidRDefault="00122BF3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Vienna</w:t>
      </w:r>
      <w:r w:rsidR="00EF2CC4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Austria</w:t>
      </w:r>
      <w:r w:rsidR="00230EB7">
        <w:rPr>
          <w:rFonts w:cs="Arial"/>
          <w:sz w:val="24"/>
          <w:szCs w:val="24"/>
        </w:rPr>
        <w:tab/>
      </w:r>
      <w:r w:rsidR="00230EB7" w:rsidRPr="007B5EFB">
        <w:rPr>
          <w:rFonts w:cs="Arial"/>
          <w:color w:val="A6A6A6" w:themeColor="background1" w:themeShade="A6"/>
          <w:sz w:val="24"/>
          <w:szCs w:val="24"/>
        </w:rPr>
        <w:t>Revision of: NN-YYTTTT</w:t>
      </w:r>
    </w:p>
    <w:p w:rsidR="00230EB7" w:rsidRDefault="00230EB7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</w:p>
    <w:p w:rsidR="008D6DB5" w:rsidRPr="007B5EFB" w:rsidRDefault="005A22B5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 w:rsidRPr="007B5EFB">
        <w:rPr>
          <w:rFonts w:cs="Arial"/>
          <w:b/>
          <w:sz w:val="24"/>
          <w:szCs w:val="24"/>
        </w:rPr>
        <w:t>Source: MediaTek</w:t>
      </w:r>
      <w:r w:rsidRPr="007B5EFB">
        <w:rPr>
          <w:rFonts w:cs="Arial"/>
          <w:b/>
          <w:sz w:val="24"/>
          <w:szCs w:val="24"/>
        </w:rPr>
        <w:tab/>
      </w:r>
    </w:p>
    <w:p w:rsidR="005A22B5" w:rsidRPr="007B5EFB" w:rsidRDefault="005A22B5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</w:p>
    <w:p w:rsidR="005A22B5" w:rsidRPr="007B5EFB" w:rsidRDefault="005A22B5" w:rsidP="007B5EFB">
      <w:pPr>
        <w:pBdr>
          <w:bottom w:val="single" w:sz="4" w:space="1" w:color="auto"/>
        </w:pBdr>
      </w:pPr>
      <w:r w:rsidRPr="007B5EFB">
        <w:rPr>
          <w:rFonts w:cs="Arial"/>
          <w:sz w:val="24"/>
          <w:szCs w:val="24"/>
        </w:rPr>
        <w:t>Document for: discussion</w:t>
      </w:r>
    </w:p>
    <w:bookmarkStart w:id="0" w:name="DocumentFor"/>
    <w:bookmarkEnd w:id="0"/>
    <w:p w:rsidR="004B2DA3" w:rsidRDefault="005F5F2F" w:rsidP="00234814">
      <w:pPr>
        <w:pStyle w:val="Title"/>
      </w:pPr>
      <w:sdt>
        <w:sdtPr>
          <w:alias w:val="Title"/>
          <w:id w:val="186512067"/>
          <w:placeholder>
            <w:docPart w:val="0629E6C76C3C498DB12C4C41176F9EF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122BF3">
            <w:t>Scope of 5G NR Phase 1</w:t>
          </w:r>
        </w:sdtContent>
      </w:sdt>
    </w:p>
    <w:p w:rsidR="00713691" w:rsidRDefault="00713691" w:rsidP="00713691">
      <w:pPr>
        <w:pStyle w:val="Heading1"/>
      </w:pPr>
      <w:r>
        <w:t>Introduction</w:t>
      </w:r>
    </w:p>
    <w:p w:rsidR="00713691" w:rsidRDefault="00122BF3" w:rsidP="00122BF3">
      <w:pPr>
        <w:pStyle w:val="Body"/>
      </w:pPr>
      <w:r>
        <w:t>With 5G NR normative work po</w:t>
      </w:r>
      <w:r w:rsidR="00B42929">
        <w:t>ised to start at RAN#75/Mar2017,</w:t>
      </w:r>
      <w:r>
        <w:t xml:space="preserve"> preliminary discussions </w:t>
      </w:r>
      <w:r w:rsidR="00B42929">
        <w:t>are needed at</w:t>
      </w:r>
      <w:r>
        <w:t xml:space="preserve"> RAN#74 </w:t>
      </w:r>
      <w:r w:rsidR="00B42929">
        <w:t>on</w:t>
      </w:r>
      <w:r>
        <w:t xml:space="preserve"> the scope of the </w:t>
      </w:r>
      <w:r w:rsidR="00E171D3">
        <w:t xml:space="preserve">normative </w:t>
      </w:r>
      <w:r>
        <w:t>work aiming at Rel-15 timeframe</w:t>
      </w:r>
      <w:r w:rsidR="004C28F7">
        <w:t>.</w:t>
      </w:r>
    </w:p>
    <w:p w:rsidR="00B42929" w:rsidRDefault="00122BF3" w:rsidP="00B42929">
      <w:pPr>
        <w:pStyle w:val="Body"/>
      </w:pPr>
      <w:r>
        <w:t>This contribution provides MediaTek views on essential a</w:t>
      </w:r>
      <w:r w:rsidR="00B42929">
        <w:t xml:space="preserve">spects to be covered in Phase 1 primarily </w:t>
      </w:r>
      <w:r>
        <w:t>from the</w:t>
      </w:r>
      <w:r w:rsidR="00101BE2">
        <w:t xml:space="preserve"> point of view of RAN1 and RAN2.</w:t>
      </w:r>
      <w:r w:rsidR="00E171D3">
        <w:t xml:space="preserve"> </w:t>
      </w:r>
      <w:r w:rsidR="00B42929">
        <w:t>Additional c</w:t>
      </w:r>
      <w:r w:rsidR="00E171D3">
        <w:t xml:space="preserve">onsiderations </w:t>
      </w:r>
      <w:r w:rsidR="00B42929">
        <w:t xml:space="preserve">on 5GC connectivity and </w:t>
      </w:r>
      <w:r w:rsidR="00E171D3">
        <w:t>Phase 2 (study) are also introduced.</w:t>
      </w:r>
      <w:r w:rsidR="00B36AAF">
        <w:t xml:space="preserve"> </w:t>
      </w:r>
    </w:p>
    <w:p w:rsidR="00713691" w:rsidRDefault="00122BF3" w:rsidP="00713691">
      <w:pPr>
        <w:pStyle w:val="Heading1"/>
      </w:pPr>
      <w:r>
        <w:t>RAN1</w:t>
      </w:r>
    </w:p>
    <w:tbl>
      <w:tblPr>
        <w:tblStyle w:val="TableGrid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122BF3" w:rsidTr="0043237D">
        <w:tc>
          <w:tcPr>
            <w:tcW w:w="1926" w:type="dxa"/>
            <w:shd w:val="clear" w:color="auto" w:fill="D9D9D9" w:themeFill="background1" w:themeFillShade="D9"/>
          </w:tcPr>
          <w:p w:rsidR="00122BF3" w:rsidRPr="00122BF3" w:rsidRDefault="00122BF3" w:rsidP="00122BF3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122BF3" w:rsidRPr="00122BF3" w:rsidRDefault="00DE5396" w:rsidP="00122BF3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122BF3" w:rsidRPr="00122BF3" w:rsidRDefault="00122BF3" w:rsidP="00122BF3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122BF3" w:rsidTr="0043237D">
        <w:tc>
          <w:tcPr>
            <w:tcW w:w="1926" w:type="dxa"/>
          </w:tcPr>
          <w:p w:rsidR="00122BF3" w:rsidRPr="00122BF3" w:rsidRDefault="00122BF3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Numerology</w:t>
            </w:r>
          </w:p>
        </w:tc>
        <w:tc>
          <w:tcPr>
            <w:tcW w:w="5670" w:type="dxa"/>
          </w:tcPr>
          <w:p w:rsidR="00122BF3" w:rsidRDefault="00753A24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Sub6</w:t>
            </w:r>
            <w:r>
              <w:rPr>
                <w:sz w:val="16"/>
                <w:szCs w:val="16"/>
              </w:rPr>
              <w:tab/>
              <w:t>15kHz subcarrier spacing (5, 10, 20, 25MHz UE BW)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ab/>
              <w:t>60kHz subcarrier spacing (20, 40, 80, 100MHz UE BW)</w:t>
            </w:r>
          </w:p>
          <w:p w:rsidR="00753A24" w:rsidRPr="00122BF3" w:rsidRDefault="00753A24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Super6</w:t>
            </w:r>
            <w:r>
              <w:rPr>
                <w:sz w:val="16"/>
                <w:szCs w:val="16"/>
              </w:rPr>
              <w:tab/>
              <w:t>60kHz subcarrier spacing (20, 40, 80, 100MHz UE BW)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ab/>
              <w:t>240kHz subcarrier spacing (80, 160, 320, 400MHz UE BW)</w:t>
            </w:r>
          </w:p>
        </w:tc>
        <w:tc>
          <w:tcPr>
            <w:tcW w:w="2250" w:type="dxa"/>
          </w:tcPr>
          <w:p w:rsidR="00122BF3" w:rsidRPr="00122BF3" w:rsidRDefault="00753A24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122BF3" w:rsidTr="0043237D">
        <w:tc>
          <w:tcPr>
            <w:tcW w:w="1926" w:type="dxa"/>
          </w:tcPr>
          <w:p w:rsidR="00122BF3" w:rsidRPr="00122BF3" w:rsidRDefault="00122BF3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Frame structure</w:t>
            </w:r>
          </w:p>
        </w:tc>
        <w:tc>
          <w:tcPr>
            <w:tcW w:w="5670" w:type="dxa"/>
          </w:tcPr>
          <w:p w:rsidR="00753A24" w:rsidRDefault="00753A24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Forward compatibility with dynamic TDD: 4 slot types (DL-only, UL-only, DL-major, UL-major)</w:t>
            </w:r>
          </w:p>
          <w:p w:rsidR="00122BF3" w:rsidRDefault="003E4EDE" w:rsidP="003E4EDE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Minimal scheduling unit for </w:t>
            </w:r>
            <w:proofErr w:type="spellStart"/>
            <w:r>
              <w:rPr>
                <w:sz w:val="16"/>
                <w:szCs w:val="16"/>
              </w:rPr>
              <w:t>eMBB</w:t>
            </w:r>
            <w:proofErr w:type="spellEnd"/>
            <w:r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  <w:t>0.5ms for 15kHz subcarrier spacing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>0.125ms for 60kHz subcarrier spacing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>0.125ms for 240kHz subcarrier spacing</w:t>
            </w:r>
          </w:p>
          <w:p w:rsidR="003E4EDE" w:rsidRDefault="003E4EDE" w:rsidP="003E4EDE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Flexible timing relationship: no self-contained operation</w:t>
            </w:r>
          </w:p>
          <w:p w:rsidR="00985CCF" w:rsidRDefault="00985CCF" w:rsidP="003E4EDE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Forward compatibility for </w:t>
            </w:r>
            <w:proofErr w:type="spellStart"/>
            <w:r>
              <w:rPr>
                <w:sz w:val="16"/>
                <w:szCs w:val="16"/>
              </w:rPr>
              <w:t>eMBB+URLLC</w:t>
            </w:r>
            <w:proofErr w:type="spellEnd"/>
            <w:r>
              <w:rPr>
                <w:sz w:val="16"/>
                <w:szCs w:val="16"/>
              </w:rPr>
              <w:t xml:space="preserve"> radio resource multiplexing</w:t>
            </w:r>
          </w:p>
          <w:p w:rsidR="00985CCF" w:rsidRDefault="00B27A48" w:rsidP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DL: semi-static/dynamic multiplexing</w:t>
            </w:r>
          </w:p>
          <w:p w:rsidR="00B27A48" w:rsidRDefault="00B27A48" w:rsidP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UL: semi-static multiplexing</w:t>
            </w:r>
          </w:p>
          <w:p w:rsid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Bandwidth extension</w:t>
            </w:r>
          </w:p>
          <w:p w:rsidR="00B27A48" w:rsidRDefault="00B27A48" w:rsidP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Single carrier</w:t>
            </w:r>
          </w:p>
          <w:p w:rsidR="00B27A48" w:rsidRDefault="00B27A48" w:rsidP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Carrier aggregation within NR</w:t>
            </w:r>
          </w:p>
          <w:p w:rsidR="00B27A48" w:rsidRP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UE-specific bandwidth adaptation in both DL and UL for single carrier operation</w:t>
            </w:r>
          </w:p>
        </w:tc>
        <w:tc>
          <w:tcPr>
            <w:tcW w:w="2250" w:type="dxa"/>
          </w:tcPr>
          <w:p w:rsidR="00122BF3" w:rsidRPr="00122BF3" w:rsidRDefault="003E4EDE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122BF3" w:rsidTr="0043237D">
        <w:tc>
          <w:tcPr>
            <w:tcW w:w="1926" w:type="dxa"/>
          </w:tcPr>
          <w:p w:rsidR="00122BF3" w:rsidRPr="00122BF3" w:rsidRDefault="00122BF3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MIMO</w:t>
            </w:r>
          </w:p>
        </w:tc>
        <w:tc>
          <w:tcPr>
            <w:tcW w:w="5670" w:type="dxa"/>
          </w:tcPr>
          <w:p w:rsidR="00122BF3" w:rsidRPr="00122BF3" w:rsidRDefault="00B27A48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Beam management, reference signal design for beam management, sharing of the beam management reference signals with initial access reference signals</w:t>
            </w:r>
          </w:p>
        </w:tc>
        <w:tc>
          <w:tcPr>
            <w:tcW w:w="2250" w:type="dxa"/>
          </w:tcPr>
          <w:p w:rsidR="00122BF3" w:rsidRPr="00122BF3" w:rsidRDefault="00B27A48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B27A48" w:rsidTr="0043237D">
        <w:tc>
          <w:tcPr>
            <w:tcW w:w="1926" w:type="dxa"/>
          </w:tcPr>
          <w:p w:rsidR="00B27A48" w:rsidRDefault="00B27A48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Initial access (NR Anchor only i.e. SA NR or NSA </w:t>
            </w:r>
            <w:proofErr w:type="spellStart"/>
            <w:r>
              <w:rPr>
                <w:sz w:val="16"/>
                <w:szCs w:val="16"/>
              </w:rPr>
              <w:t>eLTE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5670" w:type="dxa"/>
          </w:tcPr>
          <w:p w:rsid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“Narrowband” anchor-based initial access procedure for </w:t>
            </w:r>
            <w:proofErr w:type="spellStart"/>
            <w:r>
              <w:rPr>
                <w:sz w:val="16"/>
                <w:szCs w:val="16"/>
              </w:rPr>
              <w:t>eMBB</w:t>
            </w:r>
            <w:proofErr w:type="spellEnd"/>
            <w:r>
              <w:rPr>
                <w:sz w:val="16"/>
                <w:szCs w:val="16"/>
              </w:rPr>
              <w:t>/URLLC</w:t>
            </w:r>
          </w:p>
          <w:p w:rsidR="00B27A48" w:rsidRDefault="00B27A48" w:rsidP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SS block transmission with new SS design with 40ms periodicity</w:t>
            </w:r>
          </w:p>
          <w:p w:rsid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“Narrowband” anchor-based DL RRM measurements</w:t>
            </w:r>
          </w:p>
          <w:p w:rsidR="00B27A48" w:rsidRP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Synchronization Signal design, RACH signal design considering performance and complexity trade-off</w:t>
            </w:r>
          </w:p>
        </w:tc>
        <w:tc>
          <w:tcPr>
            <w:tcW w:w="2250" w:type="dxa"/>
          </w:tcPr>
          <w:p w:rsidR="00B27A48" w:rsidRDefault="00B27A48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43237D">
        <w:tc>
          <w:tcPr>
            <w:tcW w:w="1926" w:type="dxa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coding</w:t>
            </w:r>
          </w:p>
        </w:tc>
        <w:tc>
          <w:tcPr>
            <w:tcW w:w="5670" w:type="dxa"/>
          </w:tcPr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LDPC for data, Polar for control</w:t>
            </w:r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43237D">
        <w:tc>
          <w:tcPr>
            <w:tcW w:w="1926" w:type="dxa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Waveform</w:t>
            </w:r>
          </w:p>
        </w:tc>
        <w:tc>
          <w:tcPr>
            <w:tcW w:w="5670" w:type="dxa"/>
          </w:tcPr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DL: OFDM</w:t>
            </w:r>
          </w:p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UL: OFDM + DFT-S-OFDM</w:t>
            </w:r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43237D">
        <w:tc>
          <w:tcPr>
            <w:tcW w:w="1926" w:type="dxa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Modulation</w:t>
            </w:r>
          </w:p>
        </w:tc>
        <w:tc>
          <w:tcPr>
            <w:tcW w:w="5670" w:type="dxa"/>
          </w:tcPr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QPSK~256QAM (no 1024QAM)</w:t>
            </w:r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43237D">
        <w:tc>
          <w:tcPr>
            <w:tcW w:w="1926" w:type="dxa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 Control</w:t>
            </w:r>
          </w:p>
        </w:tc>
        <w:tc>
          <w:tcPr>
            <w:tcW w:w="5670" w:type="dxa"/>
          </w:tcPr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Slot-type/configuration </w:t>
            </w:r>
            <w:proofErr w:type="spellStart"/>
            <w:r>
              <w:rPr>
                <w:sz w:val="16"/>
                <w:szCs w:val="16"/>
              </w:rPr>
              <w:t>signalling</w:t>
            </w:r>
            <w:proofErr w:type="spellEnd"/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43237D">
        <w:tc>
          <w:tcPr>
            <w:tcW w:w="1926" w:type="dxa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UL Control</w:t>
            </w:r>
          </w:p>
        </w:tc>
        <w:tc>
          <w:tcPr>
            <w:tcW w:w="5670" w:type="dxa"/>
          </w:tcPr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 w:rsidRPr="00C31EE6">
              <w:rPr>
                <w:i/>
                <w:sz w:val="16"/>
                <w:szCs w:val="16"/>
              </w:rPr>
              <w:t xml:space="preserve">Preferred: </w:t>
            </w:r>
            <w:r>
              <w:rPr>
                <w:sz w:val="16"/>
                <w:szCs w:val="16"/>
              </w:rPr>
              <w:t>2-step RACH for latency reduction</w:t>
            </w:r>
          </w:p>
        </w:tc>
        <w:tc>
          <w:tcPr>
            <w:tcW w:w="2250" w:type="dxa"/>
          </w:tcPr>
          <w:p w:rsidR="00C31EE6" w:rsidRDefault="00DE539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</w:tbl>
    <w:p w:rsidR="00122BF3" w:rsidRPr="00122BF3" w:rsidRDefault="00122BF3" w:rsidP="00122BF3">
      <w:pPr>
        <w:pStyle w:val="Body"/>
      </w:pPr>
    </w:p>
    <w:p w:rsidR="00122BF3" w:rsidRDefault="00122BF3" w:rsidP="00122BF3">
      <w:pPr>
        <w:pStyle w:val="Heading1"/>
      </w:pPr>
      <w:r>
        <w:t>RAN2</w:t>
      </w:r>
    </w:p>
    <w:tbl>
      <w:tblPr>
        <w:tblStyle w:val="TableGrid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DE5396" w:rsidTr="00485B64">
        <w:tc>
          <w:tcPr>
            <w:tcW w:w="9846" w:type="dxa"/>
            <w:gridSpan w:val="3"/>
            <w:shd w:val="clear" w:color="auto" w:fill="D9D9D9" w:themeFill="background1" w:themeFillShade="D9"/>
          </w:tcPr>
          <w:p w:rsidR="00DE5396" w:rsidRPr="00DE5396" w:rsidRDefault="00DE5396" w:rsidP="0076560C">
            <w:pPr>
              <w:pStyle w:val="Body"/>
              <w:ind w:left="0"/>
              <w:rPr>
                <w:b/>
                <w:sz w:val="16"/>
              </w:rPr>
            </w:pPr>
            <w:r w:rsidRPr="00DE5396">
              <w:rPr>
                <w:b/>
                <w:sz w:val="16"/>
              </w:rPr>
              <w:t>User Plane</w:t>
            </w:r>
          </w:p>
        </w:tc>
      </w:tr>
      <w:tr w:rsidR="00DE5396" w:rsidTr="0043237D">
        <w:tc>
          <w:tcPr>
            <w:tcW w:w="1926" w:type="dxa"/>
            <w:shd w:val="clear" w:color="auto" w:fill="D9D9D9" w:themeFill="background1" w:themeFillShade="D9"/>
          </w:tcPr>
          <w:p w:rsidR="00DE5396" w:rsidRPr="00122BF3" w:rsidRDefault="00DE539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DE5396" w:rsidRPr="00122BF3" w:rsidRDefault="00DE5396" w:rsidP="0076560C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DE5396" w:rsidRPr="00122BF3" w:rsidRDefault="00DE539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DE5396" w:rsidTr="0043237D">
        <w:tc>
          <w:tcPr>
            <w:tcW w:w="1926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MAC, RLC, PDCP</w:t>
            </w:r>
          </w:p>
          <w:p w:rsidR="00DE5396" w:rsidRPr="00DE5396" w:rsidRDefault="00DE5396" w:rsidP="00DE5396">
            <w:pPr>
              <w:jc w:val="center"/>
            </w:pP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necessary functions for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High throughput; and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Low latency; and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RLC TM/UM/AM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Header compression (PDCP)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Security (PDCP)</w:t>
            </w:r>
          </w:p>
          <w:p w:rsidR="00DE5396" w:rsidRPr="00122BF3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Centralized or distributed RAN (“CU/DU split”)</w:t>
            </w:r>
          </w:p>
        </w:tc>
        <w:tc>
          <w:tcPr>
            <w:tcW w:w="2250" w:type="dxa"/>
          </w:tcPr>
          <w:p w:rsidR="00DE5396" w:rsidRPr="00122BF3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DE5396" w:rsidTr="0043237D">
        <w:tc>
          <w:tcPr>
            <w:tcW w:w="1926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QoS</w:t>
            </w:r>
            <w:proofErr w:type="spellEnd"/>
            <w:r>
              <w:rPr>
                <w:sz w:val="16"/>
                <w:szCs w:val="16"/>
              </w:rPr>
              <w:t xml:space="preserve"> flow / DRB / Logical Channel / Numerology mapping</w:t>
            </w: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Full </w:t>
            </w:r>
            <w:proofErr w:type="spellStart"/>
            <w:r>
              <w:rPr>
                <w:sz w:val="16"/>
                <w:szCs w:val="16"/>
              </w:rPr>
              <w:t>QoS</w:t>
            </w:r>
            <w:proofErr w:type="spellEnd"/>
            <w:r>
              <w:rPr>
                <w:sz w:val="16"/>
                <w:szCs w:val="16"/>
              </w:rPr>
              <w:t xml:space="preserve"> support in L2 (</w:t>
            </w:r>
            <w:proofErr w:type="spellStart"/>
            <w:r>
              <w:rPr>
                <w:sz w:val="16"/>
                <w:szCs w:val="16"/>
              </w:rPr>
              <w:t>QoS</w:t>
            </w:r>
            <w:proofErr w:type="spellEnd"/>
            <w:r>
              <w:rPr>
                <w:sz w:val="16"/>
                <w:szCs w:val="16"/>
              </w:rPr>
              <w:t xml:space="preserve"> flow / DRB mapping)</w:t>
            </w:r>
          </w:p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Forward compatibility: one MAC entity for multiple numerologies however restrict to a single numerology per UE in Rel-15</w:t>
            </w: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DE5396" w:rsidTr="0043237D">
        <w:tc>
          <w:tcPr>
            <w:tcW w:w="1926" w:type="dxa"/>
            <w:vMerge w:val="restart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NR-LTE tight interworking</w:t>
            </w: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EPS3 scenario (mobility via LTE)</w:t>
            </w: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DE5396" w:rsidTr="0043237D">
        <w:tc>
          <w:tcPr>
            <w:tcW w:w="1926" w:type="dxa"/>
            <w:vMerge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NR Scenario (or NSA with NR Anchor)</w:t>
            </w:r>
          </w:p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Intra NGS inter RAT (NR&lt;&gt;</w:t>
            </w:r>
            <w:proofErr w:type="spellStart"/>
            <w:r>
              <w:rPr>
                <w:sz w:val="16"/>
                <w:szCs w:val="16"/>
              </w:rPr>
              <w:t>eLTE</w:t>
            </w:r>
            <w:proofErr w:type="spellEnd"/>
            <w:r>
              <w:rPr>
                <w:sz w:val="16"/>
                <w:szCs w:val="16"/>
              </w:rPr>
              <w:t>) and inter EPS/NGS inter RAT NR&lt;&gt;LTE</w:t>
            </w:r>
          </w:p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MCG bearer and SCG bearer</w:t>
            </w: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DE5396" w:rsidTr="0043237D">
        <w:tc>
          <w:tcPr>
            <w:tcW w:w="1926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Others: DRX, HARQ</w:t>
            </w: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 UE DRX, no per service DRX (most stringent DRX used)</w:t>
            </w:r>
          </w:p>
          <w:p w:rsidR="00DE5396" w:rsidRP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Asynchronous HARQ</w:t>
            </w: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DE5396" w:rsidTr="0043237D">
        <w:tc>
          <w:tcPr>
            <w:tcW w:w="1926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Others: RACH</w:t>
            </w: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4-msg random access procedure supporting DL and UL beam-forming</w:t>
            </w:r>
          </w:p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 w:rsidRPr="00751C56">
              <w:rPr>
                <w:i/>
                <w:sz w:val="16"/>
                <w:szCs w:val="16"/>
              </w:rPr>
              <w:t>Preferred:</w:t>
            </w:r>
            <w:r>
              <w:rPr>
                <w:sz w:val="16"/>
                <w:szCs w:val="16"/>
              </w:rPr>
              <w:t xml:space="preserve"> 2-step RACH for latency reduction</w:t>
            </w: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</w:tbl>
    <w:p w:rsidR="00DE5396" w:rsidRDefault="00DE5396" w:rsidP="00DE5396">
      <w:pPr>
        <w:pStyle w:val="Body"/>
      </w:pPr>
    </w:p>
    <w:tbl>
      <w:tblPr>
        <w:tblStyle w:val="TableGrid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751C56" w:rsidTr="0076560C">
        <w:tc>
          <w:tcPr>
            <w:tcW w:w="9846" w:type="dxa"/>
            <w:gridSpan w:val="3"/>
            <w:shd w:val="clear" w:color="auto" w:fill="D9D9D9" w:themeFill="background1" w:themeFillShade="D9"/>
          </w:tcPr>
          <w:p w:rsidR="00751C56" w:rsidRPr="00DE5396" w:rsidRDefault="00751C56" w:rsidP="0076560C">
            <w:pPr>
              <w:pStyle w:val="Body"/>
              <w:ind w:left="0"/>
              <w:rPr>
                <w:b/>
                <w:sz w:val="16"/>
              </w:rPr>
            </w:pPr>
            <w:r>
              <w:rPr>
                <w:b/>
                <w:sz w:val="16"/>
              </w:rPr>
              <w:t>Control Plane</w:t>
            </w:r>
          </w:p>
        </w:tc>
      </w:tr>
      <w:tr w:rsidR="00751C56" w:rsidTr="0043237D">
        <w:tc>
          <w:tcPr>
            <w:tcW w:w="1926" w:type="dxa"/>
            <w:shd w:val="clear" w:color="auto" w:fill="D9D9D9" w:themeFill="background1" w:themeFillShade="D9"/>
          </w:tcPr>
          <w:p w:rsidR="00751C56" w:rsidRPr="00122BF3" w:rsidRDefault="00751C5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51C56" w:rsidRPr="00122BF3" w:rsidRDefault="00751C56" w:rsidP="0076560C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751C56" w:rsidRPr="00122BF3" w:rsidRDefault="00751C5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751C56" w:rsidTr="0043237D">
        <w:tc>
          <w:tcPr>
            <w:tcW w:w="1926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System Information</w:t>
            </w:r>
          </w:p>
          <w:p w:rsidR="00751C56" w:rsidRPr="00DE5396" w:rsidRDefault="00751C56" w:rsidP="0076560C">
            <w:pPr>
              <w:jc w:val="center"/>
            </w:pPr>
          </w:p>
        </w:tc>
        <w:tc>
          <w:tcPr>
            <w:tcW w:w="5670" w:type="dxa"/>
          </w:tcPr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On-demand </w:t>
            </w:r>
            <w:proofErr w:type="spellStart"/>
            <w:r>
              <w:rPr>
                <w:sz w:val="16"/>
                <w:szCs w:val="16"/>
              </w:rPr>
              <w:t>unicast</w:t>
            </w:r>
            <w:proofErr w:type="spellEnd"/>
            <w:r>
              <w:rPr>
                <w:sz w:val="16"/>
                <w:szCs w:val="16"/>
              </w:rPr>
              <w:t xml:space="preserve"> SI</w:t>
            </w:r>
          </w:p>
          <w:p w:rsidR="00751C56" w:rsidRPr="00751C56" w:rsidRDefault="00751C56" w:rsidP="00751C56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Wide-specific SI instead of cell-specific SI</w:t>
            </w:r>
          </w:p>
        </w:tc>
        <w:tc>
          <w:tcPr>
            <w:tcW w:w="2250" w:type="dxa"/>
          </w:tcPr>
          <w:p w:rsidR="00751C56" w:rsidRPr="00122BF3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751C56" w:rsidTr="0043237D">
        <w:tc>
          <w:tcPr>
            <w:tcW w:w="1926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Access Control</w:t>
            </w:r>
          </w:p>
        </w:tc>
        <w:tc>
          <w:tcPr>
            <w:tcW w:w="5670" w:type="dxa"/>
          </w:tcPr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Generic access control</w:t>
            </w:r>
          </w:p>
        </w:tc>
        <w:tc>
          <w:tcPr>
            <w:tcW w:w="2250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751C56" w:rsidTr="0043237D">
        <w:tc>
          <w:tcPr>
            <w:tcW w:w="1926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</w:t>
            </w:r>
          </w:p>
        </w:tc>
        <w:tc>
          <w:tcPr>
            <w:tcW w:w="5670" w:type="dxa"/>
          </w:tcPr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Take into account both NR and LTE and enable HW implementation flexibility to avoid over-dimensioning</w:t>
            </w:r>
          </w:p>
        </w:tc>
        <w:tc>
          <w:tcPr>
            <w:tcW w:w="2250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751C56" w:rsidTr="0043237D">
        <w:tc>
          <w:tcPr>
            <w:tcW w:w="1926" w:type="dxa"/>
            <w:vMerge w:val="restart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LTE-NR Mobility</w:t>
            </w:r>
          </w:p>
        </w:tc>
        <w:tc>
          <w:tcPr>
            <w:tcW w:w="5670" w:type="dxa"/>
          </w:tcPr>
          <w:p w:rsidR="00751C56" w:rsidRDefault="00751C56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Sub6</w:t>
            </w:r>
          </w:p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Full mobility support</w:t>
            </w:r>
          </w:p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Inter RAT LTE-NR handover through CN or via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 xml:space="preserve"> – Hard HO / Make-before-break HO</w:t>
            </w:r>
          </w:p>
        </w:tc>
        <w:tc>
          <w:tcPr>
            <w:tcW w:w="2250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751C56" w:rsidTr="0043237D">
        <w:tc>
          <w:tcPr>
            <w:tcW w:w="1926" w:type="dxa"/>
            <w:vMerge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751C56" w:rsidRDefault="00751C56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Super6</w:t>
            </w:r>
          </w:p>
          <w:p w:rsidR="00751C56" w:rsidRDefault="00751C56" w:rsidP="0076560C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Idle mode mobility supported (UE autonomous)</w:t>
            </w:r>
          </w:p>
          <w:p w:rsidR="00751C56" w:rsidRDefault="00751C56" w:rsidP="0076560C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connected mode mobility</w:t>
            </w:r>
          </w:p>
          <w:p w:rsidR="00751C56" w:rsidRDefault="00751C56" w:rsidP="0076560C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Inter-RAT LTE-NR seamless handover through multi-connectivity “soft HO”</w:t>
            </w:r>
          </w:p>
        </w:tc>
        <w:tc>
          <w:tcPr>
            <w:tcW w:w="2250" w:type="dxa"/>
          </w:tcPr>
          <w:p w:rsidR="00751C56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9223C9" w:rsidTr="0043237D">
        <w:tc>
          <w:tcPr>
            <w:tcW w:w="1926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Security (@PDCP)</w:t>
            </w:r>
          </w:p>
        </w:tc>
        <w:tc>
          <w:tcPr>
            <w:tcW w:w="5670" w:type="dxa"/>
          </w:tcPr>
          <w:p w:rsidR="009223C9" w:rsidRDefault="009223C9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integrity protection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9223C9" w:rsidTr="0043237D">
        <w:tc>
          <w:tcPr>
            <w:tcW w:w="1926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Paging</w:t>
            </w:r>
          </w:p>
        </w:tc>
        <w:tc>
          <w:tcPr>
            <w:tcW w:w="5670" w:type="dxa"/>
          </w:tcPr>
          <w:p w:rsidR="009223C9" w:rsidRDefault="009223C9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Basic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9223C9" w:rsidTr="0043237D">
        <w:tc>
          <w:tcPr>
            <w:tcW w:w="1926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Inactive</w:t>
            </w:r>
          </w:p>
        </w:tc>
        <w:tc>
          <w:tcPr>
            <w:tcW w:w="5670" w:type="dxa"/>
          </w:tcPr>
          <w:p w:rsidR="009223C9" w:rsidRDefault="009223C9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 w:rsidRPr="009223C9">
              <w:rPr>
                <w:i/>
                <w:sz w:val="16"/>
                <w:szCs w:val="16"/>
              </w:rPr>
              <w:t>Preferred:</w:t>
            </w:r>
            <w:r>
              <w:rPr>
                <w:sz w:val="16"/>
                <w:szCs w:val="16"/>
              </w:rPr>
              <w:t xml:space="preserve"> Data transmission without state transition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</w:tbl>
    <w:p w:rsidR="00751C56" w:rsidRDefault="00751C56" w:rsidP="00DE5396">
      <w:pPr>
        <w:pStyle w:val="Body"/>
      </w:pPr>
    </w:p>
    <w:tbl>
      <w:tblPr>
        <w:tblStyle w:val="TableGrid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9223C9" w:rsidTr="0076560C">
        <w:tc>
          <w:tcPr>
            <w:tcW w:w="9846" w:type="dxa"/>
            <w:gridSpan w:val="3"/>
            <w:shd w:val="clear" w:color="auto" w:fill="D9D9D9" w:themeFill="background1" w:themeFillShade="D9"/>
          </w:tcPr>
          <w:p w:rsidR="009223C9" w:rsidRPr="00DE5396" w:rsidRDefault="009223C9" w:rsidP="0076560C">
            <w:pPr>
              <w:pStyle w:val="Body"/>
              <w:ind w:left="0"/>
              <w:rPr>
                <w:b/>
                <w:sz w:val="16"/>
              </w:rPr>
            </w:pPr>
            <w:r>
              <w:rPr>
                <w:b/>
                <w:sz w:val="16"/>
              </w:rPr>
              <w:t>Mobility with beam</w:t>
            </w:r>
            <w:r w:rsidR="00690308">
              <w:rPr>
                <w:b/>
                <w:sz w:val="16"/>
              </w:rPr>
              <w:t>-</w:t>
            </w:r>
            <w:r>
              <w:rPr>
                <w:b/>
                <w:sz w:val="16"/>
              </w:rPr>
              <w:t>forming</w:t>
            </w:r>
          </w:p>
        </w:tc>
      </w:tr>
      <w:tr w:rsidR="009223C9" w:rsidTr="0043237D">
        <w:tc>
          <w:tcPr>
            <w:tcW w:w="1926" w:type="dxa"/>
            <w:shd w:val="clear" w:color="auto" w:fill="D9D9D9" w:themeFill="background1" w:themeFillShade="D9"/>
          </w:tcPr>
          <w:p w:rsidR="009223C9" w:rsidRPr="00122BF3" w:rsidRDefault="009223C9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9223C9" w:rsidRPr="00122BF3" w:rsidRDefault="009223C9" w:rsidP="0076560C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9223C9" w:rsidRPr="00122BF3" w:rsidRDefault="009223C9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9223C9" w:rsidTr="0043237D">
        <w:tc>
          <w:tcPr>
            <w:tcW w:w="1926" w:type="dxa"/>
          </w:tcPr>
          <w:p w:rsidR="009223C9" w:rsidRPr="007A2C86" w:rsidRDefault="009223C9" w:rsidP="007A2C86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Connected mode mobility with beam</w:t>
            </w:r>
            <w:r w:rsidR="0069030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forming</w:t>
            </w:r>
          </w:p>
        </w:tc>
        <w:tc>
          <w:tcPr>
            <w:tcW w:w="5670" w:type="dxa"/>
          </w:tcPr>
          <w:p w:rsidR="009223C9" w:rsidRDefault="009223C9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cell evaluation based on aggregated beam measurement</w:t>
            </w:r>
          </w:p>
          <w:p w:rsidR="009223C9" w:rsidRPr="00751C56" w:rsidRDefault="00690308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“0”ms interruption</w:t>
            </w:r>
          </w:p>
        </w:tc>
        <w:tc>
          <w:tcPr>
            <w:tcW w:w="2250" w:type="dxa"/>
          </w:tcPr>
          <w:p w:rsidR="009223C9" w:rsidRPr="00122BF3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9223C9" w:rsidTr="0043237D">
        <w:tc>
          <w:tcPr>
            <w:tcW w:w="1926" w:type="dxa"/>
          </w:tcPr>
          <w:p w:rsidR="009223C9" w:rsidRDefault="00690308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RLM/RLF</w:t>
            </w:r>
          </w:p>
        </w:tc>
        <w:tc>
          <w:tcPr>
            <w:tcW w:w="5670" w:type="dxa"/>
          </w:tcPr>
          <w:p w:rsidR="009223C9" w:rsidRDefault="00690308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recovery with cell with multiple beams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9223C9" w:rsidTr="0043237D">
        <w:tc>
          <w:tcPr>
            <w:tcW w:w="1926" w:type="dxa"/>
          </w:tcPr>
          <w:p w:rsidR="009223C9" w:rsidRDefault="00690308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Idle mode mobility with beam-forming</w:t>
            </w:r>
          </w:p>
        </w:tc>
        <w:tc>
          <w:tcPr>
            <w:tcW w:w="5670" w:type="dxa"/>
          </w:tcPr>
          <w:p w:rsidR="009223C9" w:rsidRDefault="00690308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Cell evaluation based on control beam measurement</w:t>
            </w:r>
          </w:p>
          <w:p w:rsidR="00690308" w:rsidRDefault="00690308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UL RRM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</w:tbl>
    <w:p w:rsidR="009223C9" w:rsidRPr="00DE5396" w:rsidRDefault="009223C9" w:rsidP="00DE5396">
      <w:pPr>
        <w:pStyle w:val="Body"/>
      </w:pPr>
    </w:p>
    <w:p w:rsidR="00122BF3" w:rsidRDefault="002A10F1" w:rsidP="00122BF3">
      <w:pPr>
        <w:pStyle w:val="Heading1"/>
      </w:pPr>
      <w:r>
        <w:lastRenderedPageBreak/>
        <w:t>5GC Connectivity</w:t>
      </w:r>
    </w:p>
    <w:p w:rsidR="00122BF3" w:rsidRPr="00122BF3" w:rsidRDefault="00640FAB" w:rsidP="00122BF3">
      <w:pPr>
        <w:pStyle w:val="Body"/>
      </w:pPr>
      <w:r>
        <w:t xml:space="preserve">Besides the necessary work in RAN1 and RAN2 to support the definition of </w:t>
      </w:r>
      <w:r w:rsidR="00505BCC">
        <w:t>a</w:t>
      </w:r>
      <w:r>
        <w:t xml:space="preserve"> new radio access (“NR” now known as “5G-RA”) in both standalone and non-standalone configurations, work is also necessary </w:t>
      </w:r>
      <w:r w:rsidR="0043237D">
        <w:t xml:space="preserve">in </w:t>
      </w:r>
      <w:r>
        <w:t xml:space="preserve">RAN2 and RAN3 to support connectivity to the </w:t>
      </w:r>
      <w:r w:rsidR="0043237D">
        <w:t>5G Core in Phase 1</w:t>
      </w:r>
      <w:r w:rsidR="00505BCC">
        <w:t xml:space="preserve"> (NG2/NG3).</w:t>
      </w:r>
    </w:p>
    <w:p w:rsidR="00122BF3" w:rsidRPr="00122BF3" w:rsidRDefault="002A10F1" w:rsidP="00122BF3">
      <w:pPr>
        <w:pStyle w:val="Heading1"/>
      </w:pPr>
      <w:r>
        <w:t>NR Phase 2 considerations</w:t>
      </w:r>
    </w:p>
    <w:p w:rsidR="002A10F1" w:rsidRDefault="00E273F8" w:rsidP="002A10F1">
      <w:pPr>
        <w:pStyle w:val="Body"/>
        <w:rPr>
          <w:lang w:eastAsia="zh-TW"/>
        </w:rPr>
      </w:pPr>
      <w:r>
        <w:rPr>
          <w:lang w:eastAsia="zh-TW"/>
        </w:rPr>
        <w:t xml:space="preserve">With an aggressive schedule for NR Standardization in Phase 1, any non-essential aspect of NR should be deemed as a potential candidate for being deferred to Phase 2. We therefore recommend TSG RAN to identify the essential aspects of NR (without which NR cannot work), distinctively from the non-essential ones (e.g. nice-to-have). The latter could be discussed on a case-by-case basis i.e. whether to be covered in Phase 1 or to be deferred to Phase 2. </w:t>
      </w:r>
    </w:p>
    <w:p w:rsidR="00E273F8" w:rsidRPr="00122BF3" w:rsidRDefault="00E273F8" w:rsidP="002A10F1">
      <w:pPr>
        <w:pStyle w:val="Body"/>
      </w:pPr>
      <w:r>
        <w:rPr>
          <w:lang w:eastAsia="zh-TW"/>
        </w:rPr>
        <w:t xml:space="preserve">In addition, items that were put on hold for consideration at RAN#75/Mar2017 (see </w:t>
      </w:r>
      <w:hyperlink r:id="rId9" w:history="1">
        <w:r w:rsidRPr="00E273F8">
          <w:rPr>
            <w:rStyle w:val="Hyperlink"/>
            <w:lang w:eastAsia="zh-TW"/>
          </w:rPr>
          <w:t>RP-161914</w:t>
        </w:r>
      </w:hyperlink>
      <w:r w:rsidR="00531A8D">
        <w:rPr>
          <w:rStyle w:val="FootnoteReference"/>
          <w:lang w:eastAsia="zh-TW"/>
        </w:rPr>
        <w:footnoteReference w:id="1"/>
      </w:r>
      <w:r>
        <w:rPr>
          <w:lang w:eastAsia="zh-TW"/>
        </w:rPr>
        <w:t>) are as such candidates for Phase 2 – we recommend discussions as to which should b</w:t>
      </w:r>
      <w:r w:rsidR="00725CAE">
        <w:rPr>
          <w:lang w:eastAsia="zh-TW"/>
        </w:rPr>
        <w:t xml:space="preserve">e considered for Phase 2 </w:t>
      </w:r>
      <w:r w:rsidR="00B42929">
        <w:rPr>
          <w:lang w:eastAsia="zh-TW"/>
        </w:rPr>
        <w:t>(study) or not</w:t>
      </w:r>
      <w:r w:rsidR="00725CAE">
        <w:rPr>
          <w:lang w:eastAsia="zh-TW"/>
        </w:rPr>
        <w:t>.</w:t>
      </w:r>
    </w:p>
    <w:p w:rsidR="00D75673" w:rsidRDefault="00D75673" w:rsidP="002A10F1">
      <w:pPr>
        <w:rPr>
          <w:lang w:eastAsia="zh-TW"/>
        </w:rPr>
      </w:pPr>
    </w:p>
    <w:p w:rsidR="00713691" w:rsidRDefault="00713691" w:rsidP="00713691">
      <w:pPr>
        <w:pStyle w:val="Heading1"/>
        <w:rPr>
          <w:lang w:eastAsia="zh-TW"/>
        </w:rPr>
      </w:pPr>
      <w:r>
        <w:rPr>
          <w:lang w:eastAsia="zh-TW"/>
        </w:rPr>
        <w:t>Conclusion</w:t>
      </w:r>
      <w:r w:rsidR="00897CE5">
        <w:rPr>
          <w:lang w:eastAsia="zh-TW"/>
        </w:rPr>
        <w:t>s</w:t>
      </w:r>
    </w:p>
    <w:p w:rsidR="00531A8D" w:rsidRDefault="00E273F8" w:rsidP="00531A8D">
      <w:pPr>
        <w:pStyle w:val="Body"/>
        <w:rPr>
          <w:lang w:eastAsia="zh-TW"/>
        </w:rPr>
      </w:pPr>
      <w:r>
        <w:rPr>
          <w:lang w:eastAsia="zh-TW"/>
        </w:rPr>
        <w:t>With an aggressive schedule for NR Standardization in Phase 1, any non-essential aspect of NR should be deemed as a potential candidate</w:t>
      </w:r>
      <w:r w:rsidR="00505AD1">
        <w:rPr>
          <w:lang w:eastAsia="zh-TW"/>
        </w:rPr>
        <w:t xml:space="preserve"> for being deferred to Phase 2. </w:t>
      </w:r>
      <w:r>
        <w:rPr>
          <w:lang w:eastAsia="zh-TW"/>
        </w:rPr>
        <w:t xml:space="preserve">We therefore recommend TSG RAN to identify the essential aspects of NR (without which NR cannot work), distinctively from the non-essential ones (e.g. nice-to-have). The latter </w:t>
      </w:r>
      <w:r w:rsidR="00531A8D">
        <w:rPr>
          <w:lang w:eastAsia="zh-TW"/>
        </w:rPr>
        <w:t>should</w:t>
      </w:r>
      <w:r>
        <w:rPr>
          <w:lang w:eastAsia="zh-TW"/>
        </w:rPr>
        <w:t xml:space="preserve"> be discussed on a case-by-case basis i.e. whether to be covered in Phase 1 or to be deferred to Phase 2</w:t>
      </w:r>
      <w:r w:rsidR="00531A8D">
        <w:rPr>
          <w:lang w:eastAsia="zh-TW"/>
        </w:rPr>
        <w:t xml:space="preserve"> whilst being especially mindful about the WG workload.</w:t>
      </w:r>
    </w:p>
    <w:p w:rsidR="00E23178" w:rsidRDefault="00E23178" w:rsidP="00531A8D">
      <w:pPr>
        <w:pStyle w:val="Body"/>
        <w:rPr>
          <w:lang w:eastAsia="zh-TW"/>
        </w:rPr>
      </w:pPr>
      <w:r>
        <w:rPr>
          <w:lang w:eastAsia="zh-TW"/>
        </w:rPr>
        <w:t xml:space="preserve">The timeline endorsed at TSG#72 </w:t>
      </w:r>
      <w:r w:rsidR="00873615">
        <w:rPr>
          <w:lang w:eastAsia="zh-TW"/>
        </w:rPr>
        <w:t>ought to</w:t>
      </w:r>
      <w:r w:rsidR="00B36AAF">
        <w:rPr>
          <w:lang w:eastAsia="zh-TW"/>
        </w:rPr>
        <w:t xml:space="preserve"> be followed.</w:t>
      </w:r>
    </w:p>
    <w:sectPr w:rsidR="00E23178" w:rsidSect="008D6DB5">
      <w:footerReference w:type="default" r:id="rId10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3AB" w:rsidRDefault="009013AB" w:rsidP="00975D02">
      <w:pPr>
        <w:spacing w:after="0" w:line="240" w:lineRule="auto"/>
      </w:pPr>
      <w:r>
        <w:separator/>
      </w:r>
    </w:p>
  </w:endnote>
  <w:endnote w:type="continuationSeparator" w:id="0">
    <w:p w:rsidR="009013AB" w:rsidRDefault="009013AB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Arial Unicode MS"/>
    <w:charset w:val="51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7E9" w:rsidRDefault="008A5130" w:rsidP="00B7707E">
    <w:pPr>
      <w:pStyle w:val="Footer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rPr>
        <w:rFonts w:cs="Arial"/>
        <w:sz w:val="24"/>
        <w:szCs w:val="24"/>
      </w:rPr>
      <w:t>RP-16</w:t>
    </w:r>
    <w:r w:rsidR="00321047">
      <w:rPr>
        <w:rFonts w:cs="Arial"/>
        <w:sz w:val="24"/>
        <w:szCs w:val="24"/>
      </w:rPr>
      <w:t>2261</w:t>
    </w:r>
    <w:r w:rsidR="007567E9">
      <w:t xml:space="preserve"> </w:t>
    </w:r>
    <w:r w:rsidR="007567E9">
      <w:tab/>
    </w:r>
    <w:sdt>
      <w:sdtPr>
        <w:alias w:val="Title"/>
        <w:id w:val="186512066"/>
        <w:placeholder>
          <w:docPart w:val="1D9ADF8CBEE84D048E3F1A75021AD6F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122BF3">
          <w:rPr>
            <w:lang w:val="en-GB"/>
          </w:rPr>
          <w:t>Scope of 5G NR Phase 1</w:t>
        </w:r>
      </w:sdtContent>
    </w:sdt>
    <w:r w:rsidR="007567E9">
      <w:tab/>
    </w:r>
    <w:fldSimple w:instr=" PAGE    \* MERGEFORMAT ">
      <w:r w:rsidR="00505AD1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3AB" w:rsidRDefault="009013AB" w:rsidP="00975D02">
      <w:pPr>
        <w:spacing w:after="0" w:line="240" w:lineRule="auto"/>
      </w:pPr>
      <w:r>
        <w:separator/>
      </w:r>
    </w:p>
  </w:footnote>
  <w:footnote w:type="continuationSeparator" w:id="0">
    <w:p w:rsidR="009013AB" w:rsidRDefault="009013AB" w:rsidP="00975D02">
      <w:pPr>
        <w:spacing w:after="0" w:line="240" w:lineRule="auto"/>
      </w:pPr>
      <w:r>
        <w:continuationSeparator/>
      </w:r>
    </w:p>
  </w:footnote>
  <w:footnote w:id="1">
    <w:p w:rsidR="00531A8D" w:rsidRPr="00531A8D" w:rsidRDefault="00531A8D" w:rsidP="00531A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31A8D">
        <w:rPr>
          <w:sz w:val="16"/>
          <w:szCs w:val="16"/>
        </w:rPr>
        <w:t xml:space="preserve">Waveforms above  40GHz, </w:t>
      </w:r>
      <w:proofErr w:type="spellStart"/>
      <w:r w:rsidRPr="00531A8D">
        <w:rPr>
          <w:sz w:val="16"/>
          <w:szCs w:val="16"/>
        </w:rPr>
        <w:t>mMTC</w:t>
      </w:r>
      <w:proofErr w:type="spellEnd"/>
      <w:r w:rsidRPr="00531A8D">
        <w:rPr>
          <w:sz w:val="16"/>
          <w:szCs w:val="16"/>
        </w:rPr>
        <w:t xml:space="preserve">, [Flexible duplex of paired spectrum], Interworking with non-3GPP systems, Wireless relay, Satellite communication, Air-to-ground and light air craft  communications, Extreme long distance coverage, </w:t>
      </w:r>
      <w:proofErr w:type="spellStart"/>
      <w:r w:rsidRPr="00531A8D">
        <w:rPr>
          <w:sz w:val="16"/>
          <w:szCs w:val="16"/>
        </w:rPr>
        <w:t>S</w:t>
      </w:r>
      <w:r>
        <w:rPr>
          <w:sz w:val="16"/>
          <w:szCs w:val="16"/>
        </w:rPr>
        <w:t>idelink</w:t>
      </w:r>
      <w:proofErr w:type="spellEnd"/>
      <w:r>
        <w:rPr>
          <w:sz w:val="16"/>
          <w:szCs w:val="16"/>
        </w:rPr>
        <w:t xml:space="preserve">, </w:t>
      </w:r>
      <w:r w:rsidRPr="00531A8D">
        <w:rPr>
          <w:sz w:val="16"/>
          <w:szCs w:val="16"/>
        </w:rPr>
        <w:t>V2V and V2X, Multimedia Broadcast/Multicast Service, Shared spectrum and unlicensed spectrum, [Location/positioning functionality], Public warning/emergency alert, New SON functionality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E17F4"/>
    <w:multiLevelType w:val="hybridMultilevel"/>
    <w:tmpl w:val="40F8C7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806ED"/>
    <w:multiLevelType w:val="hybridMultilevel"/>
    <w:tmpl w:val="BA84ECE6"/>
    <w:lvl w:ilvl="0" w:tplc="DE3AD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8A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AB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66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27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4ED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CA7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EB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6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92024"/>
    <w:multiLevelType w:val="multilevel"/>
    <w:tmpl w:val="1706B4A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8">
    <w:nsid w:val="2DB4161F"/>
    <w:multiLevelType w:val="hybridMultilevel"/>
    <w:tmpl w:val="9EB89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1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F504D2"/>
    <w:multiLevelType w:val="hybridMultilevel"/>
    <w:tmpl w:val="376C8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4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A0540F"/>
    <w:multiLevelType w:val="hybridMultilevel"/>
    <w:tmpl w:val="2F924096"/>
    <w:lvl w:ilvl="0" w:tplc="04AA4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16726A">
      <w:start w:val="28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CCB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1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D47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50E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AE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40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C22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B65031E"/>
    <w:multiLevelType w:val="hybridMultilevel"/>
    <w:tmpl w:val="850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7B66AA"/>
    <w:multiLevelType w:val="hybridMultilevel"/>
    <w:tmpl w:val="B72E1530"/>
    <w:lvl w:ilvl="0" w:tplc="16506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C04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686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2C1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6AC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46F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1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2C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7B07373"/>
    <w:multiLevelType w:val="hybridMultilevel"/>
    <w:tmpl w:val="CA329A5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>
    <w:nsid w:val="79A040B8"/>
    <w:multiLevelType w:val="hybridMultilevel"/>
    <w:tmpl w:val="3C4228DA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6">
    <w:nsid w:val="7BEA104E"/>
    <w:multiLevelType w:val="hybridMultilevel"/>
    <w:tmpl w:val="6C160A94"/>
    <w:lvl w:ilvl="0" w:tplc="153AC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2405E">
      <w:start w:val="14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B22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E41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BC0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0E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384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0E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521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9"/>
  </w:num>
  <w:num w:numId="7">
    <w:abstractNumId w:val="13"/>
  </w:num>
  <w:num w:numId="8">
    <w:abstractNumId w:val="23"/>
  </w:num>
  <w:num w:numId="9">
    <w:abstractNumId w:val="11"/>
  </w:num>
  <w:num w:numId="10">
    <w:abstractNumId w:val="22"/>
  </w:num>
  <w:num w:numId="11">
    <w:abstractNumId w:val="17"/>
  </w:num>
  <w:num w:numId="12">
    <w:abstractNumId w:val="2"/>
  </w:num>
  <w:num w:numId="13">
    <w:abstractNumId w:val="4"/>
  </w:num>
  <w:num w:numId="14">
    <w:abstractNumId w:val="10"/>
  </w:num>
  <w:num w:numId="15">
    <w:abstractNumId w:val="0"/>
  </w:num>
  <w:num w:numId="16">
    <w:abstractNumId w:val="7"/>
  </w:num>
  <w:num w:numId="17">
    <w:abstractNumId w:val="5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6"/>
  </w:num>
  <w:num w:numId="21">
    <w:abstractNumId w:val="24"/>
  </w:num>
  <w:num w:numId="22">
    <w:abstractNumId w:val="21"/>
  </w:num>
  <w:num w:numId="23">
    <w:abstractNumId w:val="15"/>
  </w:num>
  <w:num w:numId="24">
    <w:abstractNumId w:val="3"/>
  </w:num>
  <w:num w:numId="25">
    <w:abstractNumId w:val="26"/>
  </w:num>
  <w:num w:numId="26">
    <w:abstractNumId w:val="8"/>
  </w:num>
  <w:num w:numId="27">
    <w:abstractNumId w:val="16"/>
  </w:num>
  <w:num w:numId="28">
    <w:abstractNumId w:val="1"/>
  </w:num>
  <w:num w:numId="29">
    <w:abstractNumId w:val="12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attachedTemplate r:id="rId1"/>
  <w:stylePaneFormatFilter w:val="1001"/>
  <w:defaultTabStop w:val="720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F2CC4"/>
    <w:rsid w:val="000012EC"/>
    <w:rsid w:val="0000507E"/>
    <w:rsid w:val="00021D61"/>
    <w:rsid w:val="00025F12"/>
    <w:rsid w:val="0007376E"/>
    <w:rsid w:val="000934D5"/>
    <w:rsid w:val="00101BE2"/>
    <w:rsid w:val="001226B0"/>
    <w:rsid w:val="00122BF3"/>
    <w:rsid w:val="001500C5"/>
    <w:rsid w:val="001879BE"/>
    <w:rsid w:val="001E61F4"/>
    <w:rsid w:val="00200966"/>
    <w:rsid w:val="00207E0B"/>
    <w:rsid w:val="00230EB7"/>
    <w:rsid w:val="00234814"/>
    <w:rsid w:val="0024172B"/>
    <w:rsid w:val="00242EBE"/>
    <w:rsid w:val="00243B34"/>
    <w:rsid w:val="00252AD2"/>
    <w:rsid w:val="002532ED"/>
    <w:rsid w:val="0026097E"/>
    <w:rsid w:val="002810ED"/>
    <w:rsid w:val="002A10F1"/>
    <w:rsid w:val="002A43A7"/>
    <w:rsid w:val="002A6F78"/>
    <w:rsid w:val="002C36BE"/>
    <w:rsid w:val="002F1351"/>
    <w:rsid w:val="002F2F73"/>
    <w:rsid w:val="003048FB"/>
    <w:rsid w:val="00307D4C"/>
    <w:rsid w:val="0032030D"/>
    <w:rsid w:val="00321047"/>
    <w:rsid w:val="003474F6"/>
    <w:rsid w:val="00367205"/>
    <w:rsid w:val="00394B80"/>
    <w:rsid w:val="003A704B"/>
    <w:rsid w:val="003A7366"/>
    <w:rsid w:val="003D297C"/>
    <w:rsid w:val="003E4EDE"/>
    <w:rsid w:val="003F012C"/>
    <w:rsid w:val="0043237D"/>
    <w:rsid w:val="00433D48"/>
    <w:rsid w:val="004B2DA3"/>
    <w:rsid w:val="004B2DA4"/>
    <w:rsid w:val="004C28F7"/>
    <w:rsid w:val="004F1000"/>
    <w:rsid w:val="00505AD1"/>
    <w:rsid w:val="00505BCC"/>
    <w:rsid w:val="00514F64"/>
    <w:rsid w:val="00531A8D"/>
    <w:rsid w:val="00572BA1"/>
    <w:rsid w:val="0059519B"/>
    <w:rsid w:val="005A22B5"/>
    <w:rsid w:val="005F5F2F"/>
    <w:rsid w:val="006013BE"/>
    <w:rsid w:val="00602022"/>
    <w:rsid w:val="006042CB"/>
    <w:rsid w:val="006275FF"/>
    <w:rsid w:val="00640FAB"/>
    <w:rsid w:val="0064527E"/>
    <w:rsid w:val="00671948"/>
    <w:rsid w:val="00690308"/>
    <w:rsid w:val="00697105"/>
    <w:rsid w:val="006A064F"/>
    <w:rsid w:val="006A295C"/>
    <w:rsid w:val="006A53AE"/>
    <w:rsid w:val="00701D20"/>
    <w:rsid w:val="007106A8"/>
    <w:rsid w:val="00713691"/>
    <w:rsid w:val="00715505"/>
    <w:rsid w:val="00725CAE"/>
    <w:rsid w:val="007450E3"/>
    <w:rsid w:val="00751C56"/>
    <w:rsid w:val="00753A24"/>
    <w:rsid w:val="007567E9"/>
    <w:rsid w:val="007572CF"/>
    <w:rsid w:val="007619D4"/>
    <w:rsid w:val="00777E9C"/>
    <w:rsid w:val="007A2C86"/>
    <w:rsid w:val="007B02A0"/>
    <w:rsid w:val="007B0983"/>
    <w:rsid w:val="007B5EFB"/>
    <w:rsid w:val="007D5C30"/>
    <w:rsid w:val="007F59B4"/>
    <w:rsid w:val="00822D09"/>
    <w:rsid w:val="008422C9"/>
    <w:rsid w:val="00845B32"/>
    <w:rsid w:val="0085109C"/>
    <w:rsid w:val="00873615"/>
    <w:rsid w:val="008766ED"/>
    <w:rsid w:val="00897CE5"/>
    <w:rsid w:val="008A46F8"/>
    <w:rsid w:val="008A5130"/>
    <w:rsid w:val="008D6DB5"/>
    <w:rsid w:val="008E68B2"/>
    <w:rsid w:val="008E75A1"/>
    <w:rsid w:val="009013AB"/>
    <w:rsid w:val="009059A8"/>
    <w:rsid w:val="00913DE3"/>
    <w:rsid w:val="00916C0D"/>
    <w:rsid w:val="009223C9"/>
    <w:rsid w:val="00963D98"/>
    <w:rsid w:val="00975D02"/>
    <w:rsid w:val="00985CCF"/>
    <w:rsid w:val="00991626"/>
    <w:rsid w:val="00991C3B"/>
    <w:rsid w:val="009B1480"/>
    <w:rsid w:val="009C2640"/>
    <w:rsid w:val="009E18A0"/>
    <w:rsid w:val="009E4D23"/>
    <w:rsid w:val="009F236E"/>
    <w:rsid w:val="00A25DD2"/>
    <w:rsid w:val="00A61DEF"/>
    <w:rsid w:val="00A71B84"/>
    <w:rsid w:val="00A845FB"/>
    <w:rsid w:val="00A973BE"/>
    <w:rsid w:val="00A9740E"/>
    <w:rsid w:val="00AB1ECC"/>
    <w:rsid w:val="00AD39D9"/>
    <w:rsid w:val="00B14763"/>
    <w:rsid w:val="00B1710A"/>
    <w:rsid w:val="00B235FB"/>
    <w:rsid w:val="00B24D39"/>
    <w:rsid w:val="00B27A48"/>
    <w:rsid w:val="00B36AAF"/>
    <w:rsid w:val="00B42929"/>
    <w:rsid w:val="00B53A62"/>
    <w:rsid w:val="00B61197"/>
    <w:rsid w:val="00B7213B"/>
    <w:rsid w:val="00B7707E"/>
    <w:rsid w:val="00B94CB7"/>
    <w:rsid w:val="00BA488D"/>
    <w:rsid w:val="00BA5E14"/>
    <w:rsid w:val="00BC430E"/>
    <w:rsid w:val="00BF3A3C"/>
    <w:rsid w:val="00C30BDF"/>
    <w:rsid w:val="00C31EE6"/>
    <w:rsid w:val="00C34CCF"/>
    <w:rsid w:val="00C90F73"/>
    <w:rsid w:val="00CC7C14"/>
    <w:rsid w:val="00D22166"/>
    <w:rsid w:val="00D266F7"/>
    <w:rsid w:val="00D35966"/>
    <w:rsid w:val="00D41472"/>
    <w:rsid w:val="00D507E2"/>
    <w:rsid w:val="00D723C8"/>
    <w:rsid w:val="00D75673"/>
    <w:rsid w:val="00D834D3"/>
    <w:rsid w:val="00DB4E93"/>
    <w:rsid w:val="00DE5396"/>
    <w:rsid w:val="00DF7AE5"/>
    <w:rsid w:val="00E171D3"/>
    <w:rsid w:val="00E23178"/>
    <w:rsid w:val="00E273F8"/>
    <w:rsid w:val="00EB06A8"/>
    <w:rsid w:val="00ED5BB3"/>
    <w:rsid w:val="00EF2CC4"/>
    <w:rsid w:val="00EF5A7D"/>
    <w:rsid w:val="00F57B29"/>
    <w:rsid w:val="00F61E26"/>
    <w:rsid w:val="00F73B5A"/>
    <w:rsid w:val="00FB2F2C"/>
    <w:rsid w:val="00FB731D"/>
    <w:rsid w:val="00FB7B28"/>
    <w:rsid w:val="00FE581B"/>
    <w:rsid w:val="00FE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5966"/>
  </w:style>
  <w:style w:type="paragraph" w:styleId="Heading1">
    <w:name w:val="heading 1"/>
    <w:basedOn w:val="Normal"/>
    <w:next w:val="Body"/>
    <w:link w:val="Heading1Char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Heading1"/>
    <w:next w:val="Body"/>
    <w:link w:val="Heading2Char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Heading3">
    <w:name w:val="heading 3"/>
    <w:basedOn w:val="Heading1"/>
    <w:next w:val="Body"/>
    <w:link w:val="Heading3Char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Heading4">
    <w:name w:val="heading 4"/>
    <w:basedOn w:val="Heading1"/>
    <w:next w:val="Body"/>
    <w:link w:val="Heading4Char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Heading5">
    <w:name w:val="heading 5"/>
    <w:basedOn w:val="Heading1"/>
    <w:next w:val="Body"/>
    <w:link w:val="Heading5Char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Heading6">
    <w:name w:val="heading 6"/>
    <w:basedOn w:val="Heading1"/>
    <w:next w:val="Body"/>
    <w:link w:val="Heading6Char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Heading7">
    <w:name w:val="heading 7"/>
    <w:basedOn w:val="Heading6"/>
    <w:next w:val="Body"/>
    <w:link w:val="Heading7Char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Normal"/>
    <w:rsid w:val="00713691"/>
    <w:pPr>
      <w:numPr>
        <w:numId w:val="6"/>
      </w:numPr>
    </w:pPr>
  </w:style>
  <w:style w:type="paragraph" w:styleId="Title">
    <w:name w:val="Title"/>
    <w:basedOn w:val="Normal"/>
    <w:next w:val="Normal"/>
    <w:link w:val="TitleChar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D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5D0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75FF"/>
  </w:style>
  <w:style w:type="paragraph" w:styleId="Footer">
    <w:name w:val="footer"/>
    <w:basedOn w:val="Normal"/>
    <w:link w:val="FooterChar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75FF"/>
  </w:style>
  <w:style w:type="paragraph" w:styleId="BalloonText">
    <w:name w:val="Balloon Text"/>
    <w:basedOn w:val="Normal"/>
    <w:link w:val="BalloonTextChar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Normal"/>
    <w:rsid w:val="001500C5"/>
    <w:pPr>
      <w:ind w:left="450"/>
      <w:jc w:val="both"/>
    </w:pPr>
  </w:style>
  <w:style w:type="paragraph" w:customStyle="1" w:styleId="Proposal">
    <w:name w:val="Proposal"/>
    <w:basedOn w:val="Normal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Heading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PlaceholderText">
    <w:name w:val="Placeholder Text"/>
    <w:basedOn w:val="DefaultParagraphFont"/>
    <w:uiPriority w:val="99"/>
    <w:semiHidden/>
    <w:rsid w:val="007567E9"/>
    <w:rPr>
      <w:color w:val="808080"/>
    </w:rPr>
  </w:style>
  <w:style w:type="table" w:styleId="TableGrid">
    <w:name w:val="Table Grid"/>
    <w:basedOn w:val="TableNormal"/>
    <w:uiPriority w:val="59"/>
    <w:rsid w:val="004C2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934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34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34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3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34D5"/>
    <w:rPr>
      <w:b/>
      <w:bCs/>
    </w:rPr>
  </w:style>
  <w:style w:type="paragraph" w:styleId="Revision">
    <w:name w:val="Revision"/>
    <w:hidden/>
    <w:uiPriority w:val="99"/>
    <w:semiHidden/>
    <w:rsid w:val="000934D5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12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styleId="ListParagraph">
    <w:name w:val="List Paragraph"/>
    <w:basedOn w:val="Normal"/>
    <w:uiPriority w:val="34"/>
    <w:qFormat/>
    <w:rsid w:val="00122B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8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66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582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2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33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23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54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8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14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2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5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590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8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05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011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8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6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1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099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5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9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8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4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50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88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5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06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212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913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31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06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7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8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49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89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6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70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34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98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6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140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29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968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5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6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7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67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1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5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16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7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8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0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9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19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48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ftp://ftp.3gpp.org/TSG_RAN/TSG_RAN/TSGR_73/Docs/RP-16191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629E6C76C3C498DB12C4C41176F9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BCAF6-2123-4784-A25D-82CF5FF16802}"/>
      </w:docPartPr>
      <w:docPartBody>
        <w:p w:rsidR="001E606A" w:rsidRDefault="001E606A">
          <w:pPr>
            <w:pStyle w:val="0629E6C76C3C498DB12C4C41176F9EF1"/>
          </w:pPr>
          <w:r w:rsidRPr="00EF07FB">
            <w:rPr>
              <w:rStyle w:val="PlaceholderText"/>
            </w:rPr>
            <w:t>[Title]</w:t>
          </w:r>
        </w:p>
      </w:docPartBody>
    </w:docPart>
    <w:docPart>
      <w:docPartPr>
        <w:name w:val="1D9ADF8CBEE84D048E3F1A75021AD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8B768-A12C-4B7F-9505-E7EB41807319}"/>
      </w:docPartPr>
      <w:docPartBody>
        <w:p w:rsidR="001E606A" w:rsidRDefault="001E606A">
          <w:pPr>
            <w:pStyle w:val="1D9ADF8CBEE84D048E3F1A75021AD6FA"/>
          </w:pPr>
          <w:r w:rsidRPr="00EF07F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Arial Unicode MS"/>
    <w:charset w:val="51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E606A"/>
    <w:rsid w:val="001B5359"/>
    <w:rsid w:val="001E606A"/>
    <w:rsid w:val="00214DB8"/>
    <w:rsid w:val="002B2F2E"/>
    <w:rsid w:val="003741E2"/>
    <w:rsid w:val="003743DC"/>
    <w:rsid w:val="003E27B8"/>
    <w:rsid w:val="00C44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PMingLiU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606A"/>
    <w:rPr>
      <w:color w:val="808080"/>
    </w:rPr>
  </w:style>
  <w:style w:type="paragraph" w:customStyle="1" w:styleId="0629E6C76C3C498DB12C4C41176F9EF1">
    <w:name w:val="0629E6C76C3C498DB12C4C41176F9EF1"/>
    <w:rsid w:val="001E606A"/>
  </w:style>
  <w:style w:type="paragraph" w:customStyle="1" w:styleId="1D9ADF8CBEE84D048E3F1A75021AD6FA">
    <w:name w:val="1D9ADF8CBEE84D048E3F1A75021AD6FA"/>
    <w:rsid w:val="001E60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0D278-7D9F-4745-84E4-A7382AB5EA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1BBFE1-331D-415F-A65C-D03D8C412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Template.dotx</Template>
  <TotalTime>75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Scope of 5G NR Phase 1</vt:lpstr>
    </vt:vector>
  </TitlesOfParts>
  <Manager>Guillaume SEBIRE</Manager>
  <Company>Mediatek Inc.</Company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5G NR Phase 1</dc:title>
  <dc:creator>Mediatek</dc:creator>
  <cp:lastModifiedBy>Mediatek</cp:lastModifiedBy>
  <cp:revision>8</cp:revision>
  <dcterms:created xsi:type="dcterms:W3CDTF">2016-11-29T10:37:00Z</dcterms:created>
  <dcterms:modified xsi:type="dcterms:W3CDTF">2016-11-29T15:07:00Z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-2100696433</vt:i4>
  </property>
  <property fmtid="{D5CDD505-2E9C-101B-9397-08002B2CF9AE}" pid="3" name="_NewReviewCycle">
    <vt:lpwstr/>
  </property>
  <property fmtid="{D5CDD505-2E9C-101B-9397-08002B2CF9AE}" pid="4" name="_EmailSubject">
    <vt:lpwstr>[MTK Internal] RE: [NB-LTE Open Issue #11] WID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PreviousAdHocReviewCycleID">
    <vt:i4>240433540</vt:i4>
  </property>
  <property fmtid="{D5CDD505-2E9C-101B-9397-08002B2CF9AE}" pid="8" name="_ReviewingToolsShownOnce">
    <vt:lpwstr/>
  </property>
</Properties>
</file>